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0FFFF"/>
  <w:body>
    <w:p w:rsidR="00000000" w:rsidRDefault="00F309F8">
      <w:pPr>
        <w:pStyle w:val="z-"/>
      </w:pPr>
      <w:bookmarkStart w:id="0" w:name="_GoBack"/>
      <w:bookmarkEnd w:id="0"/>
      <w:r>
        <w:t>Начало формы</w:t>
      </w:r>
    </w:p>
    <w:p w:rsidR="00000000" w:rsidRDefault="00F309F8">
      <w:pPr>
        <w:rPr>
          <w:rFonts w:eastAsia="Times New Roman"/>
        </w:rPr>
      </w:pPr>
      <w:r>
        <w:rPr>
          <w:rFonts w:eastAsia="Times New Roman"/>
          <w:vanish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65pt;height:17.65pt" o:ole="">
            <v:imagedata r:id="rId5" o:title=""/>
          </v:shape>
          <w:control r:id="rId6" w:name="Объект 1" w:shapeid="_x0000_i1025"/>
        </w:object>
      </w:r>
      <w:r>
        <w:rPr>
          <w:rFonts w:eastAsia="Times New Roman"/>
          <w:vanish/>
        </w:rPr>
        <w:object w:dxaOrig="1440" w:dyaOrig="1440">
          <v:shape id="_x0000_i1026" type="#_x0000_t75" style="width:17.65pt;height:17.65pt" o:ole="">
            <v:imagedata r:id="rId5" o:title=""/>
          </v:shape>
          <w:control r:id="rId7" w:name="Объект 2" w:shapeid="_x0000_i1026"/>
        </w:objec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7"/>
      </w:tblGrid>
      <w:tr w:rsidR="00000000">
        <w:trPr>
          <w:tblCellSpacing w:w="1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309F8">
            <w:pPr>
              <w:jc w:val="center"/>
              <w:outlineLvl w:val="1"/>
              <w:rPr>
                <w:rFonts w:eastAsia="Times New Roman"/>
                <w:b/>
                <w:bCs/>
                <w:kern w:val="36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kern w:val="36"/>
                <w:sz w:val="27"/>
                <w:szCs w:val="27"/>
              </w:rPr>
              <w:t>Протокол проведения электронного аукциона</w:t>
            </w:r>
          </w:p>
          <w:p w:rsidR="00000000" w:rsidRDefault="00F309F8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об электронном аукционе </w:t>
            </w:r>
          </w:p>
          <w:tbl>
            <w:tblPr>
              <w:tblW w:w="4750" w:type="pct"/>
              <w:tblCellSpacing w:w="15" w:type="dxa"/>
              <w:tblInd w:w="300" w:type="dxa"/>
              <w:tblLook w:val="04A0" w:firstRow="1" w:lastRow="0" w:firstColumn="1" w:lastColumn="0" w:noHBand="0" w:noVBand="1"/>
            </w:tblPr>
            <w:tblGrid>
              <w:gridCol w:w="6572"/>
              <w:gridCol w:w="6573"/>
            </w:tblGrid>
            <w:tr w:rsidR="00000000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pPr>
                    <w:spacing w:before="150" w:after="15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Код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r>
                    <w:rPr>
                      <w:rFonts w:eastAsia="Times New Roman"/>
                      <w:sz w:val="18"/>
                      <w:szCs w:val="18"/>
                    </w:rPr>
                    <w:t>0133300001715000402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Наименование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r>
                    <w:rPr>
                      <w:rFonts w:eastAsia="Times New Roman"/>
                      <w:sz w:val="18"/>
                      <w:szCs w:val="18"/>
                    </w:rPr>
                    <w:t>Устройство пешеходных дорожек из тротуарной плитки и брусчатки на территории МБУК "Ивановский зоопарк" в рамках благоустройства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Организатор: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r>
                    <w:rPr>
                      <w:rFonts w:eastAsia="Times New Roman"/>
                      <w:sz w:val="18"/>
                      <w:szCs w:val="18"/>
                    </w:rPr>
                    <w:t>АДМИНИСТРАЦИЯ ГОРОДА ИВАНОВА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Начальная (максимальная) цена контракта: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r>
                    <w:rPr>
                      <w:rFonts w:eastAsia="Times New Roman"/>
                      <w:sz w:val="18"/>
                      <w:szCs w:val="18"/>
                    </w:rPr>
                    <w:t>687 185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Текущее снижение начальной (максимальной) цены: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r>
                    <w:rPr>
                      <w:rFonts w:eastAsia="Times New Roman"/>
                      <w:sz w:val="18"/>
                      <w:szCs w:val="18"/>
                    </w:rPr>
                    <w:t>15,5%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Валюта: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r>
                    <w:rPr>
                      <w:rFonts w:eastAsia="Times New Roman"/>
                      <w:sz w:val="18"/>
                      <w:szCs w:val="18"/>
                    </w:rPr>
                    <w:t>Российский рубль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Место проведения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http://www.rts-tender.ru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начала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r>
                    <w:rPr>
                      <w:rFonts w:eastAsia="Times New Roman"/>
                      <w:sz w:val="18"/>
                      <w:szCs w:val="18"/>
                    </w:rPr>
                    <w:t>29.06.2015 11:00 (по московскому времени)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окончания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r>
                    <w:rPr>
                      <w:rFonts w:eastAsia="Times New Roman"/>
                      <w:sz w:val="18"/>
                      <w:szCs w:val="18"/>
                    </w:rPr>
                    <w:t>29.06.2015 12:10 (по московскому времени)</w:t>
                  </w:r>
                  <w:r>
                    <w:t xml:space="preserve"> </w:t>
                  </w:r>
                </w:p>
              </w:tc>
            </w:tr>
          </w:tbl>
          <w:p w:rsidR="00000000" w:rsidRDefault="00F309F8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4897"/>
              <w:gridCol w:w="4897"/>
              <w:gridCol w:w="2272"/>
              <w:gridCol w:w="1064"/>
            </w:tblGrid>
            <w:tr w:rsidR="00000000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Порядковый номер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F309F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Вид аукциона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F309F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F309F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580 671,17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F309F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29.06.2015 11:50:00.473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F309F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F309F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F309F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584 107,1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F309F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29.06.2015 11:46:52.227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F309F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</w:tbl>
          <w:p w:rsidR="00000000" w:rsidRDefault="00F309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000000" w:rsidRDefault="00F309F8">
            <w:r>
              <w:rPr>
                <w:color w:val="000000"/>
                <w:sz w:val="18"/>
                <w:szCs w:val="18"/>
              </w:rPr>
              <w:t>Победил участник 1.</w:t>
            </w:r>
            <w:r>
              <w:t xml:space="preserve"> </w:t>
            </w:r>
          </w:p>
          <w:p w:rsidR="00000000" w:rsidRDefault="00F309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000000" w:rsidRDefault="00F309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</w:tc>
      </w:tr>
    </w:tbl>
    <w:p w:rsidR="00000000" w:rsidRDefault="00F309F8">
      <w:pPr>
        <w:pStyle w:val="z-1"/>
      </w:pPr>
      <w:r>
        <w:t>Конец формы</w:t>
      </w:r>
    </w:p>
    <w:sectPr w:rsidR="00000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grammar="clean"/>
  <w:formsDesign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09F8"/>
    <w:rsid w:val="00F3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le">
    <w:name w:val="role"/>
    <w:basedOn w:val="a"/>
    <w:uiPriority w:val="99"/>
    <w:semiHidden/>
    <w:pPr>
      <w:spacing w:before="100" w:beforeAutospacing="1" w:after="100" w:afterAutospacing="1"/>
    </w:pPr>
  </w:style>
  <w:style w:type="paragraph" w:customStyle="1" w:styleId="white-background">
    <w:name w:val="white-background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xcardview">
    <w:name w:val="xcardview"/>
    <w:basedOn w:val="a"/>
    <w:uiPriority w:val="99"/>
    <w:semiHidden/>
  </w:style>
  <w:style w:type="paragraph" w:customStyle="1" w:styleId="cardview">
    <w:name w:val="cardview"/>
    <w:basedOn w:val="a"/>
    <w:uiPriority w:val="99"/>
    <w:semiHidden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semiHidden/>
    <w:pPr>
      <w:spacing w:before="100" w:beforeAutospacing="1" w:after="100" w:afterAutospacing="1"/>
      <w:ind w:right="480"/>
      <w:jc w:val="right"/>
    </w:pPr>
  </w:style>
  <w:style w:type="paragraph" w:customStyle="1" w:styleId="lot-param">
    <w:name w:val="lot-param"/>
    <w:basedOn w:val="a"/>
    <w:uiPriority w:val="99"/>
    <w:semiHidden/>
    <w:pPr>
      <w:spacing w:before="100" w:beforeAutospacing="1" w:after="100" w:afterAutospacing="1"/>
    </w:pPr>
    <w:rPr>
      <w:b/>
      <w:bCs/>
      <w:i/>
      <w:iCs/>
    </w:rPr>
  </w:style>
  <w:style w:type="paragraph" w:customStyle="1" w:styleId="nobr">
    <w:name w:val="nobr"/>
    <w:basedOn w:val="a"/>
    <w:uiPriority w:val="99"/>
    <w:semiHidden/>
    <w:pPr>
      <w:spacing w:before="100" w:beforeAutospacing="1" w:after="100" w:afterAutospacing="1"/>
    </w:pPr>
  </w:style>
  <w:style w:type="paragraph" w:customStyle="1" w:styleId="column3">
    <w:name w:val="column3"/>
    <w:basedOn w:val="a"/>
    <w:uiPriority w:val="99"/>
    <w:semiHidden/>
    <w:pPr>
      <w:spacing w:before="100" w:beforeAutospacing="1" w:after="100" w:afterAutospacing="1"/>
    </w:pPr>
  </w:style>
  <w:style w:type="paragraph" w:customStyle="1" w:styleId="column4">
    <w:name w:val="column4"/>
    <w:basedOn w:val="a"/>
    <w:uiPriority w:val="99"/>
    <w:semiHidden/>
    <w:pPr>
      <w:spacing w:before="100" w:beforeAutospacing="1" w:after="100" w:afterAutospacing="1"/>
    </w:pPr>
  </w:style>
  <w:style w:type="paragraph" w:customStyle="1" w:styleId="center">
    <w:name w:val="center"/>
    <w:basedOn w:val="a"/>
    <w:uiPriority w:val="99"/>
    <w:semiHidden/>
    <w:pPr>
      <w:spacing w:before="100" w:beforeAutospacing="1" w:after="100" w:afterAutospacing="1"/>
    </w:pPr>
  </w:style>
  <w:style w:type="paragraph" w:customStyle="1" w:styleId="left">
    <w:name w:val="left"/>
    <w:basedOn w:val="a"/>
    <w:uiPriority w:val="99"/>
    <w:semiHidden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</w:style>
  <w:style w:type="paragraph" w:customStyle="1" w:styleId="center1">
    <w:name w:val="center1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left1">
    <w:name w:val="left1"/>
    <w:basedOn w:val="a"/>
    <w:uiPriority w:val="99"/>
    <w:semiHidden/>
    <w:pPr>
      <w:spacing w:before="100" w:beforeAutospacing="1" w:after="100" w:afterAutospacing="1"/>
    </w:pPr>
  </w:style>
  <w:style w:type="paragraph" w:customStyle="1" w:styleId="right1">
    <w:name w:val="right1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nobr1">
    <w:name w:val="nobr1"/>
    <w:basedOn w:val="a"/>
    <w:uiPriority w:val="99"/>
    <w:semiHidden/>
    <w:pPr>
      <w:spacing w:before="100" w:beforeAutospacing="1" w:after="100" w:afterAutospacing="1"/>
    </w:pPr>
  </w:style>
  <w:style w:type="paragraph" w:customStyle="1" w:styleId="column31">
    <w:name w:val="column31"/>
    <w:basedOn w:val="a"/>
    <w:uiPriority w:val="99"/>
    <w:semiHidden/>
    <w:pPr>
      <w:spacing w:before="100" w:beforeAutospacing="1" w:after="100" w:afterAutospacing="1"/>
    </w:pPr>
  </w:style>
  <w:style w:type="paragraph" w:customStyle="1" w:styleId="column41">
    <w:name w:val="column41"/>
    <w:basedOn w:val="a"/>
    <w:uiPriority w:val="99"/>
    <w:semiHidden/>
    <w:pPr>
      <w:spacing w:before="100" w:beforeAutospacing="1" w:after="100" w:afterAutospacing="1"/>
    </w:pPr>
  </w:style>
  <w:style w:type="paragraph" w:customStyle="1" w:styleId="role1">
    <w:name w:val="role1"/>
    <w:basedOn w:val="a"/>
    <w:uiPriority w:val="99"/>
    <w:semiHidden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le">
    <w:name w:val="role"/>
    <w:basedOn w:val="a"/>
    <w:uiPriority w:val="99"/>
    <w:semiHidden/>
    <w:pPr>
      <w:spacing w:before="100" w:beforeAutospacing="1" w:after="100" w:afterAutospacing="1"/>
    </w:pPr>
  </w:style>
  <w:style w:type="paragraph" w:customStyle="1" w:styleId="white-background">
    <w:name w:val="white-background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xcardview">
    <w:name w:val="xcardview"/>
    <w:basedOn w:val="a"/>
    <w:uiPriority w:val="99"/>
    <w:semiHidden/>
  </w:style>
  <w:style w:type="paragraph" w:customStyle="1" w:styleId="cardview">
    <w:name w:val="cardview"/>
    <w:basedOn w:val="a"/>
    <w:uiPriority w:val="99"/>
    <w:semiHidden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semiHidden/>
    <w:pPr>
      <w:spacing w:before="100" w:beforeAutospacing="1" w:after="100" w:afterAutospacing="1"/>
      <w:ind w:right="480"/>
      <w:jc w:val="right"/>
    </w:pPr>
  </w:style>
  <w:style w:type="paragraph" w:customStyle="1" w:styleId="lot-param">
    <w:name w:val="lot-param"/>
    <w:basedOn w:val="a"/>
    <w:uiPriority w:val="99"/>
    <w:semiHidden/>
    <w:pPr>
      <w:spacing w:before="100" w:beforeAutospacing="1" w:after="100" w:afterAutospacing="1"/>
    </w:pPr>
    <w:rPr>
      <w:b/>
      <w:bCs/>
      <w:i/>
      <w:iCs/>
    </w:rPr>
  </w:style>
  <w:style w:type="paragraph" w:customStyle="1" w:styleId="nobr">
    <w:name w:val="nobr"/>
    <w:basedOn w:val="a"/>
    <w:uiPriority w:val="99"/>
    <w:semiHidden/>
    <w:pPr>
      <w:spacing w:before="100" w:beforeAutospacing="1" w:after="100" w:afterAutospacing="1"/>
    </w:pPr>
  </w:style>
  <w:style w:type="paragraph" w:customStyle="1" w:styleId="column3">
    <w:name w:val="column3"/>
    <w:basedOn w:val="a"/>
    <w:uiPriority w:val="99"/>
    <w:semiHidden/>
    <w:pPr>
      <w:spacing w:before="100" w:beforeAutospacing="1" w:after="100" w:afterAutospacing="1"/>
    </w:pPr>
  </w:style>
  <w:style w:type="paragraph" w:customStyle="1" w:styleId="column4">
    <w:name w:val="column4"/>
    <w:basedOn w:val="a"/>
    <w:uiPriority w:val="99"/>
    <w:semiHidden/>
    <w:pPr>
      <w:spacing w:before="100" w:beforeAutospacing="1" w:after="100" w:afterAutospacing="1"/>
    </w:pPr>
  </w:style>
  <w:style w:type="paragraph" w:customStyle="1" w:styleId="center">
    <w:name w:val="center"/>
    <w:basedOn w:val="a"/>
    <w:uiPriority w:val="99"/>
    <w:semiHidden/>
    <w:pPr>
      <w:spacing w:before="100" w:beforeAutospacing="1" w:after="100" w:afterAutospacing="1"/>
    </w:pPr>
  </w:style>
  <w:style w:type="paragraph" w:customStyle="1" w:styleId="left">
    <w:name w:val="left"/>
    <w:basedOn w:val="a"/>
    <w:uiPriority w:val="99"/>
    <w:semiHidden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</w:style>
  <w:style w:type="paragraph" w:customStyle="1" w:styleId="center1">
    <w:name w:val="center1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left1">
    <w:name w:val="left1"/>
    <w:basedOn w:val="a"/>
    <w:uiPriority w:val="99"/>
    <w:semiHidden/>
    <w:pPr>
      <w:spacing w:before="100" w:beforeAutospacing="1" w:after="100" w:afterAutospacing="1"/>
    </w:pPr>
  </w:style>
  <w:style w:type="paragraph" w:customStyle="1" w:styleId="right1">
    <w:name w:val="right1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nobr1">
    <w:name w:val="nobr1"/>
    <w:basedOn w:val="a"/>
    <w:uiPriority w:val="99"/>
    <w:semiHidden/>
    <w:pPr>
      <w:spacing w:before="100" w:beforeAutospacing="1" w:after="100" w:afterAutospacing="1"/>
    </w:pPr>
  </w:style>
  <w:style w:type="paragraph" w:customStyle="1" w:styleId="column31">
    <w:name w:val="column31"/>
    <w:basedOn w:val="a"/>
    <w:uiPriority w:val="99"/>
    <w:semiHidden/>
    <w:pPr>
      <w:spacing w:before="100" w:beforeAutospacing="1" w:after="100" w:afterAutospacing="1"/>
    </w:pPr>
  </w:style>
  <w:style w:type="paragraph" w:customStyle="1" w:styleId="column41">
    <w:name w:val="column41"/>
    <w:basedOn w:val="a"/>
    <w:uiPriority w:val="99"/>
    <w:semiHidden/>
    <w:pPr>
      <w:spacing w:before="100" w:beforeAutospacing="1" w:after="100" w:afterAutospacing="1"/>
    </w:pPr>
  </w:style>
  <w:style w:type="paragraph" w:customStyle="1" w:styleId="role1">
    <w:name w:val="role1"/>
    <w:basedOn w:val="a"/>
    <w:uiPriority w:val="99"/>
    <w:semiHidden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Протокол проведения электронного аукциона</vt:lpstr>
    </vt:vector>
  </TitlesOfParts>
  <Company>Администрация города Иванова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 электронного аукциона</dc:title>
  <dc:creator>Анна Алексеевна Константинова</dc:creator>
  <cp:lastModifiedBy>Анна Алексеевна Константинова</cp:lastModifiedBy>
  <cp:revision>2</cp:revision>
  <cp:lastPrinted>2015-07-01T06:22:00Z</cp:lastPrinted>
  <dcterms:created xsi:type="dcterms:W3CDTF">2015-07-01T06:23:00Z</dcterms:created>
  <dcterms:modified xsi:type="dcterms:W3CDTF">2015-07-01T06:23:00Z</dcterms:modified>
</cp:coreProperties>
</file>